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4"/>
        <w:ind w:left="106"/>
        <w:rPr>
          <w:rFonts w:ascii="Times New Roman" w:eastAsia="Times New Roman"/>
        </w:rPr>
      </w:pPr>
      <w:r>
        <w:rPr>
          <w:rFonts w:hint="eastAsia" w:ascii="黑体" w:eastAsia="黑体"/>
        </w:rPr>
        <w:t>附件</w:t>
      </w:r>
      <w:r>
        <w:rPr>
          <w:rFonts w:ascii="Times New Roman" w:eastAsia="Times New Roman"/>
        </w:rPr>
        <w:t>5</w:t>
      </w:r>
    </w:p>
    <w:p>
      <w:pPr>
        <w:pStyle w:val="4"/>
        <w:rPr>
          <w:rFonts w:ascii="Times New Roman"/>
          <w:sz w:val="34"/>
        </w:rPr>
      </w:pPr>
    </w:p>
    <w:p>
      <w:pPr>
        <w:spacing w:before="279"/>
        <w:ind w:left="156" w:right="0" w:firstLine="0"/>
        <w:jc w:val="left"/>
        <w:rPr>
          <w:rFonts w:hint="eastAsia" w:ascii="宋体" w:eastAsia="宋体"/>
          <w:b/>
          <w:sz w:val="44"/>
        </w:rPr>
      </w:pPr>
      <w:r>
        <w:rPr>
          <w:rFonts w:hint="eastAsia" w:ascii="宋体" w:eastAsia="宋体"/>
          <w:b/>
          <w:sz w:val="44"/>
        </w:rPr>
        <w:t>2025年辽宁中华职业教育社科研课题选题指南</w:t>
      </w:r>
    </w:p>
    <w:p>
      <w:pPr>
        <w:pStyle w:val="4"/>
        <w:rPr>
          <w:rFonts w:ascii="宋体"/>
          <w:b/>
          <w:sz w:val="50"/>
        </w:rPr>
      </w:pPr>
    </w:p>
    <w:p>
      <w:pPr>
        <w:pStyle w:val="3"/>
        <w:spacing w:line="421" w:lineRule="exact"/>
      </w:pPr>
      <w:r>
        <w:t>重点参考方向：</w:t>
      </w:r>
    </w:p>
    <w:p>
      <w:pPr>
        <w:spacing w:before="0"/>
        <w:ind w:left="106" w:right="113" w:firstLine="0"/>
        <w:jc w:val="left"/>
        <w:rPr>
          <w:rFonts w:hint="eastAsia" w:ascii="等线" w:eastAsia="等线"/>
          <w:b/>
          <w:sz w:val="28"/>
        </w:rPr>
      </w:pPr>
      <w:r>
        <w:rPr>
          <w:rFonts w:hint="eastAsia" w:ascii="等线" w:eastAsia="等线"/>
          <w:b/>
          <w:sz w:val="28"/>
        </w:rPr>
        <w:t>一、充分发挥专门委员会作用，加强职业教育代表人士队伍思想政治引领工作的实践探索</w:t>
      </w:r>
    </w:p>
    <w:p>
      <w:pPr>
        <w:pStyle w:val="7"/>
        <w:numPr>
          <w:ilvl w:val="0"/>
          <w:numId w:val="1"/>
        </w:numPr>
        <w:tabs>
          <w:tab w:val="left" w:pos="531"/>
          <w:tab w:val="left" w:pos="532"/>
        </w:tabs>
        <w:spacing w:before="0" w:after="0" w:line="418" w:lineRule="exact"/>
        <w:ind w:left="531" w:right="0" w:hanging="426"/>
        <w:jc w:val="left"/>
        <w:rPr>
          <w:sz w:val="28"/>
        </w:rPr>
      </w:pPr>
      <w:r>
        <w:rPr>
          <w:sz w:val="28"/>
        </w:rPr>
        <w:t>职教社专门委员会服务辽宁省社会经济发展的策略研究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职教社专门委员会建言献策机制研究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职教社专门委员会高质量调研工作机制研究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其他相关选题</w:t>
      </w:r>
    </w:p>
    <w:p>
      <w:pPr>
        <w:pStyle w:val="3"/>
        <w:spacing w:line="240" w:lineRule="auto"/>
        <w:ind w:right="113"/>
      </w:pPr>
      <w:r>
        <w:t>二、围绕党委政府中心工作，职业教育如何助力我省经济发展和新时代“六地”建设</w:t>
      </w:r>
    </w:p>
    <w:p>
      <w:pPr>
        <w:pStyle w:val="7"/>
        <w:numPr>
          <w:ilvl w:val="0"/>
          <w:numId w:val="1"/>
        </w:numPr>
        <w:tabs>
          <w:tab w:val="left" w:pos="531"/>
          <w:tab w:val="left" w:pos="532"/>
        </w:tabs>
        <w:spacing w:before="0" w:after="0" w:line="418" w:lineRule="exact"/>
        <w:ind w:left="531" w:right="0" w:hanging="426"/>
        <w:jc w:val="left"/>
        <w:rPr>
          <w:sz w:val="28"/>
        </w:rPr>
      </w:pPr>
      <w:r>
        <w:rPr>
          <w:sz w:val="28"/>
        </w:rPr>
        <w:t>职业教育赋能银发经济：人才培育与产业协同发展路径研究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职业教育服务银发经济：养老护理技能培训与产业需求对接研究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银发经济时代职业教育适老化服务人才培养策略研究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康养经济视角下智慧康养类专业建设与区域经济适配性研究</w:t>
      </w:r>
    </w:p>
    <w:p>
      <w:pPr>
        <w:pStyle w:val="7"/>
        <w:numPr>
          <w:ilvl w:val="0"/>
          <w:numId w:val="1"/>
        </w:numPr>
        <w:tabs>
          <w:tab w:val="left" w:pos="531"/>
          <w:tab w:val="left" w:pos="532"/>
        </w:tabs>
        <w:spacing w:before="0" w:after="0" w:line="420" w:lineRule="exact"/>
        <w:ind w:left="531" w:right="0" w:hanging="426"/>
        <w:jc w:val="left"/>
        <w:rPr>
          <w:sz w:val="28"/>
        </w:rPr>
      </w:pPr>
      <w:r>
        <w:rPr>
          <w:sz w:val="28"/>
        </w:rPr>
        <w:t>冰雪经济产业链与职业教育技能型人才供给的匹配机制研究</w:t>
      </w:r>
    </w:p>
    <w:p>
      <w:pPr>
        <w:pStyle w:val="7"/>
        <w:numPr>
          <w:ilvl w:val="0"/>
          <w:numId w:val="1"/>
        </w:numPr>
        <w:tabs>
          <w:tab w:val="left" w:pos="532"/>
        </w:tabs>
        <w:spacing w:before="0" w:after="0" w:line="420" w:lineRule="exact"/>
        <w:ind w:left="531" w:right="0" w:hanging="426"/>
        <w:jc w:val="left"/>
        <w:rPr>
          <w:sz w:val="28"/>
        </w:rPr>
      </w:pPr>
      <w:r>
        <w:rPr>
          <w:sz w:val="28"/>
        </w:rPr>
        <w:t>冰雪经济视角下冰雪运动服务专业群建设与产业升级研究</w:t>
      </w:r>
    </w:p>
    <w:p>
      <w:pPr>
        <w:pStyle w:val="7"/>
        <w:numPr>
          <w:ilvl w:val="0"/>
          <w:numId w:val="1"/>
        </w:numPr>
        <w:tabs>
          <w:tab w:val="left" w:pos="532"/>
        </w:tabs>
        <w:spacing w:before="0" w:after="0" w:line="420" w:lineRule="exact"/>
        <w:ind w:left="531" w:right="0" w:hanging="426"/>
        <w:jc w:val="left"/>
        <w:rPr>
          <w:sz w:val="28"/>
        </w:rPr>
      </w:pPr>
      <w:r>
        <w:rPr>
          <w:sz w:val="28"/>
        </w:rPr>
        <w:t>冰雪装备制造业驱动下“机械制造+冰雪专业群”协同路径研究</w:t>
      </w:r>
    </w:p>
    <w:p>
      <w:pPr>
        <w:pStyle w:val="7"/>
        <w:numPr>
          <w:ilvl w:val="0"/>
          <w:numId w:val="1"/>
        </w:numPr>
        <w:tabs>
          <w:tab w:val="left" w:pos="532"/>
        </w:tabs>
        <w:spacing w:before="0" w:after="0" w:line="420" w:lineRule="exact"/>
        <w:ind w:left="531" w:right="0" w:hanging="426"/>
        <w:jc w:val="left"/>
        <w:rPr>
          <w:sz w:val="28"/>
        </w:rPr>
      </w:pPr>
      <w:r>
        <w:rPr>
          <w:sz w:val="28"/>
        </w:rPr>
        <w:t>冰雪文旅经济圈冰雪运动服务类专业职教课程适配性研究</w:t>
      </w:r>
    </w:p>
    <w:p>
      <w:pPr>
        <w:pStyle w:val="7"/>
        <w:numPr>
          <w:ilvl w:val="0"/>
          <w:numId w:val="1"/>
        </w:numPr>
        <w:tabs>
          <w:tab w:val="left" w:pos="532"/>
        </w:tabs>
        <w:spacing w:before="0" w:after="0" w:line="240" w:lineRule="auto"/>
        <w:ind w:left="531" w:right="113" w:hanging="425"/>
        <w:jc w:val="left"/>
        <w:rPr>
          <w:sz w:val="28"/>
        </w:rPr>
      </w:pPr>
      <w:r>
        <w:rPr>
          <w:sz w:val="28"/>
        </w:rPr>
        <w:t>“六地”建设背景下职业教育服务高品质文体旅融合发展的模式创新研究</w:t>
      </w:r>
    </w:p>
    <w:p>
      <w:pPr>
        <w:pStyle w:val="7"/>
        <w:numPr>
          <w:ilvl w:val="0"/>
          <w:numId w:val="1"/>
        </w:numPr>
        <w:tabs>
          <w:tab w:val="left" w:pos="532"/>
        </w:tabs>
        <w:spacing w:before="0" w:after="0" w:line="418" w:lineRule="exact"/>
        <w:ind w:left="531" w:right="0" w:hanging="426"/>
        <w:jc w:val="left"/>
        <w:rPr>
          <w:sz w:val="28"/>
        </w:rPr>
      </w:pPr>
      <w:r>
        <w:rPr>
          <w:sz w:val="28"/>
        </w:rPr>
        <w:t>其他相关选题</w:t>
      </w:r>
    </w:p>
    <w:p>
      <w:pPr>
        <w:pStyle w:val="3"/>
      </w:pPr>
      <w:r>
        <w:t>三、教育强省与职业教育、民办教育高质量发展研究</w:t>
      </w:r>
    </w:p>
    <w:p>
      <w:pPr>
        <w:pStyle w:val="7"/>
        <w:numPr>
          <w:ilvl w:val="0"/>
          <w:numId w:val="1"/>
        </w:numPr>
        <w:tabs>
          <w:tab w:val="left" w:pos="532"/>
        </w:tabs>
        <w:spacing w:before="0" w:after="0" w:line="420" w:lineRule="exact"/>
        <w:ind w:left="531" w:right="0" w:hanging="426"/>
        <w:jc w:val="left"/>
        <w:rPr>
          <w:sz w:val="28"/>
        </w:rPr>
      </w:pPr>
      <w:r>
        <w:rPr>
          <w:sz w:val="28"/>
        </w:rPr>
        <w:t>辽宁省装备制造类专业“双师型”教师能力标准与培养路径研究</w:t>
      </w:r>
    </w:p>
    <w:p>
      <w:pPr>
        <w:pStyle w:val="7"/>
        <w:numPr>
          <w:ilvl w:val="0"/>
          <w:numId w:val="1"/>
        </w:numPr>
        <w:tabs>
          <w:tab w:val="left" w:pos="532"/>
        </w:tabs>
        <w:spacing w:before="0" w:after="0" w:line="420" w:lineRule="exact"/>
        <w:ind w:left="531" w:right="0" w:hanging="426"/>
        <w:jc w:val="left"/>
        <w:rPr>
          <w:sz w:val="28"/>
        </w:rPr>
      </w:pPr>
      <w:r>
        <w:rPr>
          <w:sz w:val="28"/>
        </w:rPr>
        <w:t>辽宁沿海经济带职业教育“岗课赛证”融通模式研究</w:t>
      </w:r>
    </w:p>
    <w:p>
      <w:pPr>
        <w:pStyle w:val="7"/>
        <w:numPr>
          <w:ilvl w:val="0"/>
          <w:numId w:val="1"/>
        </w:numPr>
        <w:tabs>
          <w:tab w:val="left" w:pos="532"/>
        </w:tabs>
        <w:spacing w:before="0" w:after="0" w:line="420" w:lineRule="exact"/>
        <w:ind w:left="531" w:right="0" w:hanging="426"/>
        <w:jc w:val="left"/>
        <w:rPr>
          <w:sz w:val="28"/>
        </w:rPr>
      </w:pPr>
      <w:r>
        <w:rPr>
          <w:sz w:val="28"/>
        </w:rPr>
        <w:t>辽宁临港产业人才需求适配性研究</w:t>
      </w:r>
    </w:p>
    <w:p>
      <w:pPr>
        <w:pStyle w:val="7"/>
        <w:numPr>
          <w:ilvl w:val="0"/>
          <w:numId w:val="1"/>
        </w:numPr>
        <w:tabs>
          <w:tab w:val="left" w:pos="532"/>
        </w:tabs>
        <w:spacing w:before="0" w:after="0" w:line="421" w:lineRule="exact"/>
        <w:ind w:left="531" w:right="0" w:hanging="426"/>
        <w:jc w:val="left"/>
        <w:rPr>
          <w:sz w:val="28"/>
        </w:rPr>
      </w:pPr>
      <w:r>
        <w:rPr>
          <w:sz w:val="28"/>
        </w:rPr>
        <w:t>辽宁老工业基地职业教育“双元制”本土化研究</w:t>
      </w:r>
    </w:p>
    <w:p>
      <w:pPr>
        <w:spacing w:after="0" w:line="421" w:lineRule="exact"/>
        <w:jc w:val="left"/>
        <w:rPr>
          <w:sz w:val="28"/>
        </w:rPr>
        <w:sectPr>
          <w:footerReference r:id="rId5" w:type="default"/>
          <w:footerReference r:id="rId6" w:type="even"/>
          <w:pgSz w:w="11920" w:h="16840"/>
          <w:pgMar w:top="1580" w:right="1360" w:bottom="1740" w:left="1480" w:header="0" w:footer="1550" w:gutter="0"/>
          <w:pgNumType w:start="17"/>
          <w:cols w:space="720" w:num="1"/>
        </w:sectPr>
      </w:pPr>
    </w:p>
    <w:p>
      <w:pPr>
        <w:pStyle w:val="4"/>
        <w:spacing w:before="10"/>
        <w:rPr>
          <w:sz w:val="24"/>
        </w:rPr>
      </w:pPr>
    </w:p>
    <w:p>
      <w:pPr>
        <w:pStyle w:val="7"/>
        <w:numPr>
          <w:ilvl w:val="0"/>
          <w:numId w:val="1"/>
        </w:numPr>
        <w:tabs>
          <w:tab w:val="left" w:pos="532"/>
        </w:tabs>
        <w:spacing w:before="36" w:after="0" w:line="421" w:lineRule="exact"/>
        <w:ind w:left="531" w:right="0" w:hanging="426"/>
        <w:jc w:val="left"/>
        <w:rPr>
          <w:sz w:val="28"/>
        </w:rPr>
      </w:pPr>
      <w:r>
        <w:rPr>
          <w:sz w:val="28"/>
        </w:rPr>
        <w:t>沈阳现代化都市圈职业教育赋能智能装备产业升级研究</w:t>
      </w:r>
    </w:p>
    <w:p>
      <w:pPr>
        <w:pStyle w:val="7"/>
        <w:numPr>
          <w:ilvl w:val="0"/>
          <w:numId w:val="1"/>
        </w:numPr>
        <w:tabs>
          <w:tab w:val="left" w:pos="532"/>
        </w:tabs>
        <w:spacing w:before="0" w:after="0" w:line="420" w:lineRule="exact"/>
        <w:ind w:left="531" w:right="0" w:hanging="426"/>
        <w:jc w:val="left"/>
        <w:rPr>
          <w:sz w:val="28"/>
        </w:rPr>
      </w:pPr>
      <w:r>
        <w:rPr>
          <w:sz w:val="28"/>
        </w:rPr>
        <w:t>职业院校赋能辽宁“老字号、原字号、新字号”产业升级研究</w:t>
      </w:r>
    </w:p>
    <w:p>
      <w:pPr>
        <w:pStyle w:val="7"/>
        <w:numPr>
          <w:ilvl w:val="0"/>
          <w:numId w:val="1"/>
        </w:numPr>
        <w:tabs>
          <w:tab w:val="left" w:pos="532"/>
        </w:tabs>
        <w:spacing w:before="0" w:after="0" w:line="240" w:lineRule="auto"/>
        <w:ind w:left="531" w:right="113" w:hanging="425"/>
        <w:jc w:val="left"/>
        <w:rPr>
          <w:sz w:val="28"/>
        </w:rPr>
      </w:pPr>
      <w:r>
        <w:rPr>
          <w:spacing w:val="8"/>
          <w:sz w:val="28"/>
        </w:rPr>
        <w:t>乡村振兴战略下涉农职业教育专业群建设与县域特色农业产业适配性研究</w:t>
      </w:r>
    </w:p>
    <w:p>
      <w:pPr>
        <w:pStyle w:val="7"/>
        <w:numPr>
          <w:ilvl w:val="0"/>
          <w:numId w:val="1"/>
        </w:numPr>
        <w:tabs>
          <w:tab w:val="left" w:pos="532"/>
        </w:tabs>
        <w:spacing w:before="0" w:after="0" w:line="240" w:lineRule="auto"/>
        <w:ind w:left="531" w:right="113" w:hanging="425"/>
        <w:jc w:val="left"/>
        <w:rPr>
          <w:sz w:val="28"/>
        </w:rPr>
      </w:pPr>
      <w:r>
        <w:rPr>
          <w:spacing w:val="8"/>
          <w:sz w:val="28"/>
        </w:rPr>
        <w:t>教育强省战略中辽宁省民办高校特色化办学路径与区域文化传承创新研究</w:t>
      </w:r>
    </w:p>
    <w:p>
      <w:pPr>
        <w:pStyle w:val="7"/>
        <w:numPr>
          <w:ilvl w:val="0"/>
          <w:numId w:val="1"/>
        </w:numPr>
        <w:tabs>
          <w:tab w:val="left" w:pos="532"/>
        </w:tabs>
        <w:spacing w:before="0" w:after="0" w:line="418" w:lineRule="exact"/>
        <w:ind w:left="531" w:right="0" w:hanging="426"/>
        <w:jc w:val="left"/>
        <w:rPr>
          <w:sz w:val="28"/>
        </w:rPr>
      </w:pPr>
      <w:r>
        <w:rPr>
          <w:sz w:val="28"/>
        </w:rPr>
        <w:t>民办教育国际化人才培养模式与辽宁自贸区建设适配性研究</w:t>
      </w:r>
    </w:p>
    <w:p>
      <w:pPr>
        <w:pStyle w:val="7"/>
        <w:numPr>
          <w:ilvl w:val="0"/>
          <w:numId w:val="1"/>
        </w:numPr>
        <w:tabs>
          <w:tab w:val="left" w:pos="532"/>
        </w:tabs>
        <w:spacing w:before="0" w:after="0" w:line="420" w:lineRule="exact"/>
        <w:ind w:left="531" w:right="0" w:hanging="426"/>
        <w:jc w:val="left"/>
        <w:rPr>
          <w:sz w:val="28"/>
        </w:rPr>
      </w:pPr>
      <w:r>
        <w:rPr>
          <w:sz w:val="28"/>
        </w:rPr>
        <w:t>民办高校数字技术专业群建设赋能数字辽宁战略研究</w:t>
      </w:r>
    </w:p>
    <w:p>
      <w:pPr>
        <w:pStyle w:val="7"/>
        <w:numPr>
          <w:ilvl w:val="0"/>
          <w:numId w:val="1"/>
        </w:numPr>
        <w:tabs>
          <w:tab w:val="left" w:pos="532"/>
        </w:tabs>
        <w:spacing w:before="0" w:after="0" w:line="420" w:lineRule="exact"/>
        <w:ind w:left="531" w:right="0" w:hanging="426"/>
        <w:jc w:val="left"/>
        <w:rPr>
          <w:sz w:val="28"/>
        </w:rPr>
      </w:pPr>
      <w:r>
        <w:rPr>
          <w:sz w:val="28"/>
        </w:rPr>
        <w:t>其他相关选题</w:t>
      </w:r>
    </w:p>
    <w:p>
      <w:pPr>
        <w:pStyle w:val="3"/>
      </w:pPr>
      <w:r>
        <w:t>其他方向：</w:t>
      </w:r>
    </w:p>
    <w:p>
      <w:pPr>
        <w:spacing w:before="0" w:line="420" w:lineRule="exact"/>
        <w:ind w:left="106" w:right="0" w:firstLine="0"/>
        <w:jc w:val="left"/>
        <w:rPr>
          <w:rFonts w:hint="eastAsia" w:ascii="等线" w:eastAsia="等线"/>
          <w:b/>
          <w:sz w:val="28"/>
        </w:rPr>
      </w:pPr>
      <w:r>
        <w:rPr>
          <w:rFonts w:hint="eastAsia" w:ascii="等线" w:eastAsia="等线"/>
          <w:b/>
          <w:sz w:val="28"/>
        </w:rPr>
        <w:t>一、黄炎培职业教育思想研究类</w:t>
      </w:r>
    </w:p>
    <w:p>
      <w:pPr>
        <w:pStyle w:val="7"/>
        <w:numPr>
          <w:ilvl w:val="0"/>
          <w:numId w:val="1"/>
        </w:numPr>
        <w:tabs>
          <w:tab w:val="left" w:pos="532"/>
        </w:tabs>
        <w:spacing w:before="0" w:after="0" w:line="420" w:lineRule="exact"/>
        <w:ind w:left="531" w:right="0" w:hanging="426"/>
        <w:jc w:val="left"/>
        <w:rPr>
          <w:sz w:val="28"/>
        </w:rPr>
      </w:pPr>
      <w:r>
        <w:rPr>
          <w:spacing w:val="-5"/>
          <w:sz w:val="28"/>
        </w:rPr>
        <w:t>黄炎培职业教育目标与高质量就业研究</w:t>
      </w:r>
    </w:p>
    <w:p>
      <w:pPr>
        <w:pStyle w:val="7"/>
        <w:numPr>
          <w:ilvl w:val="0"/>
          <w:numId w:val="1"/>
        </w:numPr>
        <w:tabs>
          <w:tab w:val="left" w:pos="532"/>
        </w:tabs>
        <w:spacing w:before="0" w:after="0" w:line="420" w:lineRule="exact"/>
        <w:ind w:left="531" w:right="0" w:hanging="426"/>
        <w:jc w:val="left"/>
        <w:rPr>
          <w:sz w:val="28"/>
        </w:rPr>
      </w:pPr>
      <w:r>
        <w:rPr>
          <w:spacing w:val="-5"/>
          <w:sz w:val="28"/>
        </w:rPr>
        <w:t>黄炎培职业指导观的缘起、发展及启示研究</w:t>
      </w:r>
    </w:p>
    <w:p>
      <w:pPr>
        <w:pStyle w:val="7"/>
        <w:numPr>
          <w:ilvl w:val="0"/>
          <w:numId w:val="1"/>
        </w:numPr>
        <w:tabs>
          <w:tab w:val="left" w:pos="532"/>
        </w:tabs>
        <w:spacing w:before="0" w:after="0" w:line="420" w:lineRule="exact"/>
        <w:ind w:left="531" w:right="0" w:hanging="426"/>
        <w:jc w:val="left"/>
        <w:rPr>
          <w:sz w:val="28"/>
        </w:rPr>
      </w:pPr>
      <w:r>
        <w:rPr>
          <w:spacing w:val="-5"/>
          <w:sz w:val="28"/>
        </w:rPr>
        <w:t>基于黄炎培职业教育思想的“新四科”人才培养研究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二、战略与趋势类</w:t>
      </w:r>
    </w:p>
    <w:p>
      <w:pPr>
        <w:pStyle w:val="7"/>
        <w:numPr>
          <w:ilvl w:val="0"/>
          <w:numId w:val="1"/>
        </w:numPr>
        <w:tabs>
          <w:tab w:val="left" w:pos="532"/>
        </w:tabs>
        <w:spacing w:before="0" w:after="0" w:line="420" w:lineRule="exact"/>
        <w:ind w:left="531" w:right="0" w:hanging="426"/>
        <w:jc w:val="left"/>
        <w:rPr>
          <w:sz w:val="28"/>
        </w:rPr>
      </w:pPr>
      <w:r>
        <w:rPr>
          <w:spacing w:val="-5"/>
          <w:sz w:val="28"/>
        </w:rPr>
        <w:t>中国式现代化建设与辽宁职业教育研究</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民办教育在区域协调发展战略实施中的角色与任务研究</w:t>
      </w:r>
    </w:p>
    <w:p>
      <w:pPr>
        <w:pStyle w:val="7"/>
        <w:numPr>
          <w:ilvl w:val="0"/>
          <w:numId w:val="1"/>
        </w:numPr>
        <w:tabs>
          <w:tab w:val="left" w:pos="532"/>
        </w:tabs>
        <w:spacing w:before="0" w:after="0" w:line="240" w:lineRule="auto"/>
        <w:ind w:left="531" w:right="153" w:hanging="425"/>
        <w:jc w:val="left"/>
        <w:rPr>
          <w:sz w:val="28"/>
        </w:rPr>
      </w:pPr>
      <w:r>
        <w:rPr>
          <w:spacing w:val="-5"/>
          <w:sz w:val="28"/>
        </w:rPr>
        <w:t>辽宁职业教育</w:t>
      </w:r>
      <w:r>
        <w:rPr>
          <w:spacing w:val="-6"/>
          <w:sz w:val="28"/>
        </w:rPr>
        <w:t>/民办教育适应少子化、老龄化、区域人口增减分化等趋</w:t>
      </w:r>
      <w:r>
        <w:rPr>
          <w:spacing w:val="-5"/>
          <w:sz w:val="28"/>
        </w:rPr>
        <w:t>势性特征研究</w:t>
      </w:r>
    </w:p>
    <w:p>
      <w:pPr>
        <w:pStyle w:val="7"/>
        <w:numPr>
          <w:ilvl w:val="0"/>
          <w:numId w:val="1"/>
        </w:numPr>
        <w:tabs>
          <w:tab w:val="left" w:pos="532"/>
        </w:tabs>
        <w:spacing w:before="0" w:after="0" w:line="240" w:lineRule="auto"/>
        <w:ind w:left="531" w:right="153" w:hanging="425"/>
        <w:jc w:val="left"/>
        <w:rPr>
          <w:rFonts w:hint="eastAsia" w:ascii="宋体" w:eastAsia="宋体"/>
          <w:sz w:val="26"/>
        </w:rPr>
      </w:pPr>
      <w:r>
        <w:rPr>
          <w:spacing w:val="-5"/>
          <w:sz w:val="28"/>
        </w:rPr>
        <w:t>辽宁职业教育</w:t>
      </w:r>
      <w:r>
        <w:rPr>
          <w:spacing w:val="-6"/>
          <w:sz w:val="28"/>
        </w:rPr>
        <w:t>/民办教育在构建新型城镇化和新型工业化背景下的发展</w:t>
      </w:r>
      <w:r>
        <w:rPr>
          <w:spacing w:val="-3"/>
          <w:sz w:val="28"/>
        </w:rPr>
        <w:t>研究</w:t>
      </w:r>
    </w:p>
    <w:p>
      <w:pPr>
        <w:pStyle w:val="7"/>
        <w:numPr>
          <w:ilvl w:val="0"/>
          <w:numId w:val="1"/>
        </w:numPr>
        <w:tabs>
          <w:tab w:val="left" w:pos="532"/>
        </w:tabs>
        <w:spacing w:before="0" w:after="0" w:line="418" w:lineRule="exact"/>
        <w:ind w:left="531" w:right="0" w:hanging="426"/>
        <w:jc w:val="left"/>
        <w:rPr>
          <w:rFonts w:hint="eastAsia" w:ascii="宋体" w:eastAsia="宋体"/>
          <w:sz w:val="28"/>
        </w:rPr>
      </w:pPr>
      <w:r>
        <w:rPr>
          <w:spacing w:val="-5"/>
          <w:sz w:val="28"/>
        </w:rPr>
        <w:t>其他相关选题</w:t>
      </w:r>
    </w:p>
    <w:p>
      <w:pPr>
        <w:pStyle w:val="3"/>
      </w:pPr>
      <w:r>
        <w:t>三、思政教育类</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民办教育提升思政引领力的研究</w:t>
      </w:r>
    </w:p>
    <w:p>
      <w:pPr>
        <w:pStyle w:val="7"/>
        <w:numPr>
          <w:ilvl w:val="0"/>
          <w:numId w:val="1"/>
        </w:numPr>
        <w:tabs>
          <w:tab w:val="left" w:pos="532"/>
        </w:tabs>
        <w:spacing w:before="0" w:after="0" w:line="420" w:lineRule="exact"/>
        <w:ind w:left="531" w:right="0" w:hanging="426"/>
        <w:jc w:val="left"/>
        <w:rPr>
          <w:rFonts w:hint="eastAsia" w:ascii="宋体" w:eastAsia="宋体"/>
          <w:sz w:val="28"/>
        </w:rPr>
      </w:pPr>
      <w:r>
        <w:rPr>
          <w:spacing w:val="-5"/>
          <w:sz w:val="28"/>
        </w:rPr>
        <w:t>辽宁职业教育</w:t>
      </w:r>
      <w:r>
        <w:rPr>
          <w:spacing w:val="-6"/>
          <w:sz w:val="28"/>
        </w:rPr>
        <w:t>/</w:t>
      </w:r>
      <w:r>
        <w:rPr>
          <w:spacing w:val="-5"/>
          <w:sz w:val="28"/>
        </w:rPr>
        <w:t>民办教育落实立德树人根本任务研究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四、人才培养与教改类</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民办教育适应产业升级的人才培养研究</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民办教育提升学生综合职业能力的实践探索</w:t>
      </w:r>
    </w:p>
    <w:p>
      <w:pPr>
        <w:pStyle w:val="7"/>
        <w:numPr>
          <w:ilvl w:val="0"/>
          <w:numId w:val="1"/>
        </w:numPr>
        <w:tabs>
          <w:tab w:val="left" w:pos="532"/>
        </w:tabs>
        <w:spacing w:before="0" w:after="0" w:line="421" w:lineRule="exact"/>
        <w:ind w:left="531" w:right="0" w:hanging="426"/>
        <w:jc w:val="left"/>
        <w:rPr>
          <w:sz w:val="28"/>
        </w:rPr>
      </w:pPr>
      <w:r>
        <w:rPr>
          <w:spacing w:val="-5"/>
          <w:sz w:val="28"/>
        </w:rPr>
        <w:t>辽宁职业教育</w:t>
      </w:r>
      <w:r>
        <w:rPr>
          <w:spacing w:val="-6"/>
          <w:sz w:val="28"/>
        </w:rPr>
        <w:t>/</w:t>
      </w:r>
      <w:r>
        <w:rPr>
          <w:spacing w:val="-5"/>
          <w:sz w:val="28"/>
        </w:rPr>
        <w:t>民办教育完善学生实习实践制度研究</w:t>
      </w:r>
    </w:p>
    <w:p>
      <w:pPr>
        <w:spacing w:after="0" w:line="421" w:lineRule="exact"/>
        <w:jc w:val="left"/>
        <w:rPr>
          <w:sz w:val="28"/>
        </w:rPr>
        <w:sectPr>
          <w:pgSz w:w="11920" w:h="16840"/>
          <w:pgMar w:top="1580" w:right="1360" w:bottom="1740" w:left="1480" w:header="0" w:footer="1559" w:gutter="0"/>
          <w:cols w:space="720" w:num="1"/>
        </w:sectPr>
      </w:pPr>
    </w:p>
    <w:p>
      <w:pPr>
        <w:pStyle w:val="4"/>
        <w:spacing w:before="10"/>
        <w:rPr>
          <w:sz w:val="24"/>
        </w:rPr>
      </w:pPr>
    </w:p>
    <w:p>
      <w:pPr>
        <w:pStyle w:val="7"/>
        <w:numPr>
          <w:ilvl w:val="0"/>
          <w:numId w:val="1"/>
        </w:numPr>
        <w:tabs>
          <w:tab w:val="left" w:pos="532"/>
        </w:tabs>
        <w:spacing w:before="36" w:after="0" w:line="421" w:lineRule="exact"/>
        <w:ind w:left="531" w:right="0" w:hanging="426"/>
        <w:jc w:val="left"/>
        <w:rPr>
          <w:sz w:val="28"/>
        </w:rPr>
      </w:pPr>
      <w:r>
        <w:rPr>
          <w:spacing w:val="-5"/>
          <w:sz w:val="28"/>
        </w:rPr>
        <w:t>辽宁职业教育</w:t>
      </w:r>
      <w:r>
        <w:rPr>
          <w:spacing w:val="-6"/>
          <w:sz w:val="28"/>
        </w:rPr>
        <w:t>/</w:t>
      </w:r>
      <w:r>
        <w:rPr>
          <w:spacing w:val="-5"/>
          <w:sz w:val="28"/>
        </w:rPr>
        <w:t>民办教育构建家校社协同育人机制研究</w:t>
      </w:r>
    </w:p>
    <w:p>
      <w:pPr>
        <w:pStyle w:val="7"/>
        <w:numPr>
          <w:ilvl w:val="0"/>
          <w:numId w:val="1"/>
        </w:numPr>
        <w:tabs>
          <w:tab w:val="left" w:pos="532"/>
        </w:tabs>
        <w:spacing w:before="0" w:after="0" w:line="420" w:lineRule="exact"/>
        <w:ind w:left="531" w:right="0" w:hanging="426"/>
        <w:jc w:val="left"/>
        <w:rPr>
          <w:sz w:val="28"/>
        </w:rPr>
      </w:pPr>
      <w:r>
        <w:rPr>
          <w:spacing w:val="-5"/>
          <w:sz w:val="28"/>
        </w:rPr>
        <w:t>职普融通背景下职业院校课程体系重构研究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五、师资队伍建设类</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民办教育加强师德师风建设研究</w:t>
      </w:r>
    </w:p>
    <w:p>
      <w:pPr>
        <w:pStyle w:val="7"/>
        <w:numPr>
          <w:ilvl w:val="0"/>
          <w:numId w:val="1"/>
        </w:numPr>
        <w:tabs>
          <w:tab w:val="left" w:pos="532"/>
        </w:tabs>
        <w:spacing w:before="0" w:after="0" w:line="420" w:lineRule="exact"/>
        <w:ind w:left="531" w:right="0" w:hanging="426"/>
        <w:jc w:val="left"/>
        <w:rPr>
          <w:rFonts w:hint="eastAsia" w:ascii="宋体" w:eastAsia="宋体"/>
          <w:sz w:val="28"/>
        </w:rPr>
      </w:pPr>
      <w:r>
        <w:rPr>
          <w:spacing w:val="-5"/>
          <w:sz w:val="28"/>
        </w:rPr>
        <w:t>辽宁职业教育</w:t>
      </w:r>
      <w:r>
        <w:rPr>
          <w:spacing w:val="-6"/>
          <w:sz w:val="28"/>
        </w:rPr>
        <w:t>/</w:t>
      </w:r>
      <w:r>
        <w:rPr>
          <w:spacing w:val="-5"/>
          <w:sz w:val="28"/>
        </w:rPr>
        <w:t>民办教育健全教师评价体系研究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六、质量保障与发展类</w:t>
      </w:r>
    </w:p>
    <w:p>
      <w:pPr>
        <w:pStyle w:val="7"/>
        <w:numPr>
          <w:ilvl w:val="0"/>
          <w:numId w:val="1"/>
        </w:numPr>
        <w:tabs>
          <w:tab w:val="left" w:pos="532"/>
        </w:tabs>
        <w:spacing w:before="0" w:after="0" w:line="420" w:lineRule="exact"/>
        <w:ind w:left="531" w:right="0" w:hanging="426"/>
        <w:jc w:val="left"/>
        <w:rPr>
          <w:sz w:val="28"/>
        </w:rPr>
      </w:pPr>
      <w:r>
        <w:rPr>
          <w:spacing w:val="-5"/>
          <w:sz w:val="28"/>
        </w:rPr>
        <w:t>辽宁职业教育</w:t>
      </w:r>
      <w:r>
        <w:rPr>
          <w:spacing w:val="-6"/>
          <w:sz w:val="28"/>
        </w:rPr>
        <w:t>/</w:t>
      </w:r>
      <w:r>
        <w:rPr>
          <w:spacing w:val="-5"/>
          <w:sz w:val="28"/>
        </w:rPr>
        <w:t>民办教育质量评价标准体系构建与完善研究</w:t>
      </w:r>
    </w:p>
    <w:p>
      <w:pPr>
        <w:pStyle w:val="7"/>
        <w:numPr>
          <w:ilvl w:val="0"/>
          <w:numId w:val="1"/>
        </w:numPr>
        <w:tabs>
          <w:tab w:val="left" w:pos="532"/>
        </w:tabs>
        <w:spacing w:before="0" w:after="0" w:line="420" w:lineRule="exact"/>
        <w:ind w:left="531" w:right="0" w:hanging="426"/>
        <w:jc w:val="left"/>
        <w:rPr>
          <w:rFonts w:hint="eastAsia" w:ascii="宋体" w:eastAsia="宋体"/>
          <w:sz w:val="28"/>
        </w:rPr>
      </w:pPr>
      <w:r>
        <w:rPr>
          <w:spacing w:val="-5"/>
          <w:sz w:val="28"/>
        </w:rPr>
        <w:t>辽宁职业教育</w:t>
      </w:r>
      <w:r>
        <w:rPr>
          <w:spacing w:val="-6"/>
          <w:sz w:val="28"/>
        </w:rPr>
        <w:t>/</w:t>
      </w:r>
      <w:r>
        <w:rPr>
          <w:spacing w:val="10"/>
          <w:sz w:val="28"/>
        </w:rPr>
        <w:t>民办教育</w:t>
      </w:r>
      <w:r>
        <w:rPr>
          <w:sz w:val="28"/>
        </w:rPr>
        <w:t>AI</w:t>
      </w:r>
      <w:r>
        <w:rPr>
          <w:spacing w:val="-9"/>
          <w:sz w:val="28"/>
        </w:rPr>
        <w:t xml:space="preserve"> 赋能教育教学质量提升研究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七、数字化转型类</w:t>
      </w:r>
    </w:p>
    <w:p>
      <w:pPr>
        <w:pStyle w:val="7"/>
        <w:numPr>
          <w:ilvl w:val="0"/>
          <w:numId w:val="1"/>
        </w:numPr>
        <w:tabs>
          <w:tab w:val="left" w:pos="532"/>
        </w:tabs>
        <w:spacing w:before="0" w:after="0" w:line="420" w:lineRule="exact"/>
        <w:ind w:left="531" w:right="0" w:hanging="426"/>
        <w:jc w:val="left"/>
        <w:rPr>
          <w:sz w:val="28"/>
        </w:rPr>
      </w:pPr>
      <w:r>
        <w:rPr>
          <w:spacing w:val="-5"/>
          <w:sz w:val="28"/>
        </w:rPr>
        <w:t>辽宁省职业院校</w:t>
      </w:r>
      <w:r>
        <w:rPr>
          <w:spacing w:val="-6"/>
          <w:sz w:val="28"/>
        </w:rPr>
        <w:t>/</w:t>
      </w:r>
      <w:r>
        <w:rPr>
          <w:spacing w:val="-5"/>
          <w:sz w:val="28"/>
        </w:rPr>
        <w:t>民办院校师生数字素养提升研究</w:t>
      </w:r>
    </w:p>
    <w:p>
      <w:pPr>
        <w:pStyle w:val="7"/>
        <w:numPr>
          <w:ilvl w:val="0"/>
          <w:numId w:val="1"/>
        </w:numPr>
        <w:tabs>
          <w:tab w:val="left" w:pos="532"/>
        </w:tabs>
        <w:spacing w:before="0" w:after="0" w:line="420" w:lineRule="exact"/>
        <w:ind w:left="531" w:right="0" w:hanging="426"/>
        <w:jc w:val="left"/>
        <w:rPr>
          <w:rFonts w:hint="eastAsia" w:ascii="宋体" w:eastAsia="宋体"/>
          <w:sz w:val="28"/>
        </w:rPr>
      </w:pPr>
      <w:r>
        <w:rPr>
          <w:spacing w:val="-5"/>
          <w:sz w:val="28"/>
        </w:rPr>
        <w:t>辽宁职业教育</w:t>
      </w:r>
      <w:r>
        <w:rPr>
          <w:spacing w:val="-6"/>
          <w:sz w:val="28"/>
        </w:rPr>
        <w:t>/</w:t>
      </w:r>
      <w:r>
        <w:rPr>
          <w:spacing w:val="-5"/>
          <w:sz w:val="28"/>
        </w:rPr>
        <w:t>民办教育数字化转型发展研究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八、产教融合类</w:t>
      </w:r>
    </w:p>
    <w:p>
      <w:pPr>
        <w:pStyle w:val="7"/>
        <w:numPr>
          <w:ilvl w:val="0"/>
          <w:numId w:val="1"/>
        </w:numPr>
        <w:tabs>
          <w:tab w:val="left" w:pos="532"/>
        </w:tabs>
        <w:spacing w:before="0" w:after="0" w:line="420" w:lineRule="exact"/>
        <w:ind w:left="531" w:right="0" w:hanging="426"/>
        <w:jc w:val="left"/>
        <w:rPr>
          <w:sz w:val="28"/>
        </w:rPr>
      </w:pPr>
      <w:r>
        <w:rPr>
          <w:spacing w:val="-5"/>
          <w:sz w:val="28"/>
        </w:rPr>
        <w:t>辽宁省职业教育</w:t>
      </w:r>
      <w:r>
        <w:rPr>
          <w:spacing w:val="-6"/>
          <w:sz w:val="28"/>
        </w:rPr>
        <w:t>/</w:t>
      </w:r>
      <w:r>
        <w:rPr>
          <w:spacing w:val="-5"/>
          <w:sz w:val="28"/>
        </w:rPr>
        <w:t>民办教育产学研用深度合作研究</w:t>
      </w:r>
    </w:p>
    <w:p>
      <w:pPr>
        <w:pStyle w:val="7"/>
        <w:numPr>
          <w:ilvl w:val="0"/>
          <w:numId w:val="1"/>
        </w:numPr>
        <w:tabs>
          <w:tab w:val="left" w:pos="532"/>
        </w:tabs>
        <w:spacing w:before="0" w:after="0" w:line="420" w:lineRule="exact"/>
        <w:ind w:left="531" w:right="0" w:hanging="426"/>
        <w:jc w:val="left"/>
        <w:rPr>
          <w:rFonts w:hint="eastAsia" w:ascii="宋体" w:eastAsia="宋体"/>
          <w:sz w:val="28"/>
        </w:rPr>
      </w:pPr>
      <w:r>
        <w:rPr>
          <w:spacing w:val="-5"/>
          <w:sz w:val="28"/>
        </w:rPr>
        <w:t>基于产教融合的职业院校</w:t>
      </w:r>
      <w:r>
        <w:rPr>
          <w:spacing w:val="-6"/>
          <w:sz w:val="28"/>
        </w:rPr>
        <w:t>/</w:t>
      </w:r>
      <w:r>
        <w:rPr>
          <w:spacing w:val="-5"/>
          <w:sz w:val="28"/>
        </w:rPr>
        <w:t>民办院校课程体系创新研究</w:t>
      </w:r>
    </w:p>
    <w:p>
      <w:pPr>
        <w:pStyle w:val="7"/>
        <w:numPr>
          <w:ilvl w:val="0"/>
          <w:numId w:val="1"/>
        </w:numPr>
        <w:tabs>
          <w:tab w:val="left" w:pos="532"/>
        </w:tabs>
        <w:spacing w:before="0" w:after="0" w:line="420" w:lineRule="exact"/>
        <w:ind w:left="531" w:right="0" w:hanging="426"/>
        <w:jc w:val="left"/>
        <w:rPr>
          <w:sz w:val="28"/>
        </w:rPr>
      </w:pPr>
      <w:r>
        <w:rPr>
          <w:spacing w:val="-5"/>
          <w:sz w:val="28"/>
        </w:rPr>
        <w:t>其他相关选题</w:t>
      </w:r>
    </w:p>
    <w:p>
      <w:pPr>
        <w:pStyle w:val="3"/>
      </w:pPr>
      <w:r>
        <w:t>九、社会服务与特色发展类</w:t>
      </w:r>
    </w:p>
    <w:p>
      <w:pPr>
        <w:pStyle w:val="7"/>
        <w:numPr>
          <w:ilvl w:val="0"/>
          <w:numId w:val="1"/>
        </w:numPr>
        <w:tabs>
          <w:tab w:val="left" w:pos="532"/>
        </w:tabs>
        <w:spacing w:before="0" w:after="0" w:line="420" w:lineRule="exact"/>
        <w:ind w:left="531" w:right="0" w:hanging="426"/>
        <w:jc w:val="left"/>
        <w:rPr>
          <w:sz w:val="28"/>
        </w:rPr>
      </w:pPr>
      <w:r>
        <w:rPr>
          <w:spacing w:val="-5"/>
          <w:sz w:val="28"/>
        </w:rPr>
        <w:t>职业教育</w:t>
      </w:r>
      <w:r>
        <w:rPr>
          <w:spacing w:val="-6"/>
          <w:sz w:val="28"/>
        </w:rPr>
        <w:t>/</w:t>
      </w:r>
      <w:r>
        <w:rPr>
          <w:spacing w:val="-5"/>
          <w:sz w:val="28"/>
        </w:rPr>
        <w:t>民办教育推动辽宁城乡融合发展研究</w:t>
      </w:r>
    </w:p>
    <w:p>
      <w:pPr>
        <w:pStyle w:val="7"/>
        <w:numPr>
          <w:ilvl w:val="0"/>
          <w:numId w:val="1"/>
        </w:numPr>
        <w:tabs>
          <w:tab w:val="left" w:pos="532"/>
        </w:tabs>
        <w:spacing w:before="0" w:after="0" w:line="420" w:lineRule="exact"/>
        <w:ind w:left="531" w:right="0" w:hanging="426"/>
        <w:jc w:val="left"/>
        <w:rPr>
          <w:sz w:val="28"/>
        </w:rPr>
      </w:pPr>
      <w:r>
        <w:rPr>
          <w:spacing w:val="-5"/>
          <w:sz w:val="28"/>
        </w:rPr>
        <w:t>基于辽宁产业集群发展的职业教育</w:t>
      </w:r>
      <w:r>
        <w:rPr>
          <w:spacing w:val="-6"/>
          <w:sz w:val="28"/>
        </w:rPr>
        <w:t>/</w:t>
      </w:r>
      <w:r>
        <w:rPr>
          <w:spacing w:val="-5"/>
          <w:sz w:val="28"/>
        </w:rPr>
        <w:t>民办教育专业集群研究</w:t>
      </w:r>
    </w:p>
    <w:p>
      <w:pPr>
        <w:pStyle w:val="7"/>
        <w:numPr>
          <w:ilvl w:val="0"/>
          <w:numId w:val="1"/>
        </w:numPr>
        <w:tabs>
          <w:tab w:val="left" w:pos="532"/>
        </w:tabs>
        <w:spacing w:before="0" w:after="0" w:line="420" w:lineRule="exact"/>
        <w:ind w:left="531" w:right="0" w:hanging="426"/>
        <w:jc w:val="left"/>
        <w:rPr>
          <w:sz w:val="28"/>
        </w:rPr>
      </w:pPr>
      <w:r>
        <w:rPr>
          <w:spacing w:val="-5"/>
          <w:sz w:val="28"/>
        </w:rPr>
        <w:t>辽宁“一圈一带两区”区域发展格局中职业教育布局优化研究</w:t>
      </w:r>
    </w:p>
    <w:p>
      <w:pPr>
        <w:pStyle w:val="7"/>
        <w:numPr>
          <w:ilvl w:val="0"/>
          <w:numId w:val="1"/>
        </w:numPr>
        <w:tabs>
          <w:tab w:val="left" w:pos="532"/>
        </w:tabs>
        <w:spacing w:before="0" w:after="0" w:line="420" w:lineRule="exact"/>
        <w:ind w:left="531" w:right="0" w:hanging="426"/>
        <w:jc w:val="left"/>
        <w:rPr>
          <w:sz w:val="28"/>
        </w:rPr>
      </w:pPr>
      <w:r>
        <w:rPr>
          <w:spacing w:val="-5"/>
          <w:sz w:val="28"/>
        </w:rPr>
        <w:t>职业教育</w:t>
      </w:r>
      <w:r>
        <w:rPr>
          <w:spacing w:val="-6"/>
          <w:sz w:val="28"/>
        </w:rPr>
        <w:t>/</w:t>
      </w:r>
      <w:r>
        <w:rPr>
          <w:spacing w:val="-5"/>
          <w:sz w:val="28"/>
        </w:rPr>
        <w:t>民办教育提升辽宁文化软实力研究</w:t>
      </w:r>
    </w:p>
    <w:p>
      <w:pPr>
        <w:pStyle w:val="7"/>
        <w:numPr>
          <w:ilvl w:val="0"/>
          <w:numId w:val="1"/>
        </w:numPr>
        <w:tabs>
          <w:tab w:val="left" w:pos="532"/>
        </w:tabs>
        <w:spacing w:before="0" w:after="0" w:line="420" w:lineRule="exact"/>
        <w:ind w:left="531" w:right="0" w:hanging="426"/>
        <w:jc w:val="left"/>
        <w:rPr>
          <w:sz w:val="28"/>
        </w:rPr>
      </w:pPr>
      <w:r>
        <w:rPr>
          <w:spacing w:val="-5"/>
          <w:sz w:val="28"/>
        </w:rPr>
        <w:t>中国各省学分银行制度建设比较研究</w:t>
      </w:r>
    </w:p>
    <w:p>
      <w:pPr>
        <w:pStyle w:val="7"/>
        <w:numPr>
          <w:ilvl w:val="0"/>
          <w:numId w:val="1"/>
        </w:numPr>
        <w:tabs>
          <w:tab w:val="left" w:pos="532"/>
        </w:tabs>
        <w:spacing w:before="0" w:after="0" w:line="421" w:lineRule="exact"/>
        <w:ind w:left="531" w:right="0" w:hanging="426"/>
        <w:jc w:val="left"/>
        <w:rPr>
          <w:sz w:val="28"/>
        </w:rPr>
      </w:pPr>
      <w:r>
        <w:rPr>
          <w:spacing w:val="-5"/>
          <w:sz w:val="28"/>
        </w:rPr>
        <w:t>其他相关选题</w:t>
      </w:r>
    </w:p>
    <w:p>
      <w:pPr>
        <w:pStyle w:val="4"/>
        <w:spacing w:before="12"/>
        <w:rPr>
          <w:sz w:val="27"/>
        </w:rPr>
      </w:pPr>
    </w:p>
    <w:p>
      <w:pPr>
        <w:pStyle w:val="4"/>
        <w:ind w:left="106" w:right="108"/>
      </w:pPr>
      <w:r>
        <w:rPr>
          <w:spacing w:val="-6"/>
        </w:rPr>
        <w:t>备注：该指南中符号“/</w:t>
      </w:r>
      <w:r>
        <w:rPr>
          <w:spacing w:val="-7"/>
        </w:rPr>
        <w:t>”表示职业教育和民办教育领域可任选其一作为具体</w:t>
      </w:r>
      <w:r>
        <w:rPr>
          <w:spacing w:val="-5"/>
        </w:rPr>
        <w:t>的研究选题。</w:t>
      </w:r>
    </w:p>
    <w:p>
      <w:pPr>
        <w:spacing w:after="0"/>
        <w:sectPr>
          <w:pgSz w:w="11920" w:h="16840"/>
          <w:pgMar w:top="1580" w:right="1360" w:bottom="1740" w:left="1480" w:header="0" w:footer="1550" w:gutter="0"/>
          <w:cols w:space="720" w:num="1"/>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5795010</wp:posOffset>
              </wp:positionH>
              <wp:positionV relativeFrom="page">
                <wp:posOffset>9568180</wp:posOffset>
              </wp:positionV>
              <wp:extent cx="73723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pStyle w:val="4"/>
                            <w:spacing w:line="321" w:lineRule="exact"/>
                            <w:ind w:left="20"/>
                            <w:rPr>
                              <w:rFonts w:ascii="宋体" w:hAnsi="宋体"/>
                            </w:rPr>
                          </w:pPr>
                          <w:r>
                            <w:rPr>
                              <w:rFonts w:ascii="宋体" w:hAnsi="宋体"/>
                            </w:rPr>
                            <w:t xml:space="preserve">— </w:t>
                          </w:r>
                          <w:r>
                            <w:fldChar w:fldCharType="begin"/>
                          </w:r>
                          <w:r>
                            <w:rPr>
                              <w:rFonts w:ascii="宋体" w:hAnsi="宋体"/>
                            </w:rPr>
                            <w:instrText xml:space="preserve"> PAGE </w:instrText>
                          </w:r>
                          <w:r>
                            <w:fldChar w:fldCharType="separate"/>
                          </w:r>
                          <w:r>
                            <w:t>17</w:t>
                          </w:r>
                          <w:r>
                            <w:fldChar w:fldCharType="end"/>
                          </w:r>
                          <w:r>
                            <w:rPr>
                              <w:rFonts w:ascii="宋体" w:hAnsi="宋体"/>
                            </w:rPr>
                            <w:t xml:space="preserve"> —</w:t>
                          </w:r>
                        </w:p>
                      </w:txbxContent>
                    </wps:txbx>
                    <wps:bodyPr lIns="0" tIns="0" rIns="0" bIns="0" upright="1"/>
                  </wps:wsp>
                </a:graphicData>
              </a:graphic>
            </wp:anchor>
          </w:drawing>
        </mc:Choice>
        <mc:Fallback>
          <w:pict>
            <v:shape id="_x0000_s1026" o:spid="_x0000_s1026" o:spt="202" type="#_x0000_t202" style="position:absolute;left:0pt;margin-left:456.3pt;margin-top:753.4pt;height:16.05pt;width:58.05pt;mso-position-horizontal-relative:page;mso-position-vertical-relative:page;z-index:-251657216;mso-width-relative:page;mso-height-relative:page;" filled="f" stroked="f" coordsize="21600,21600" o:gfxdata="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5c/X9oAAAAOAQAADwAAAAAAAAABACAAAAAiAAAAZHJzL2Rvd25yZXYueG1sUEsB&#10;AhQAFAAAAAgAh07iQEkyHOC6AQAAcQMAAA4AAAAAAAAAAQAgAAAAKQEAAGRycy9lMm9Eb2MueG1s&#10;UEsFBgAAAAAGAAYAWQEAAFUFAAAAAA==&#10;">
              <v:path/>
              <v:fill on="f" focussize="0,0"/>
              <v:stroke on="f" joinstyle="miter"/>
              <v:imagedata o:title=""/>
              <o:lock v:ext="edit"/>
              <v:textbox inset="0mm,0mm,0mm,0mm">
                <w:txbxContent>
                  <w:p>
                    <w:pPr>
                      <w:pStyle w:val="4"/>
                      <w:spacing w:line="321" w:lineRule="exact"/>
                      <w:ind w:left="20"/>
                      <w:rPr>
                        <w:rFonts w:ascii="宋体" w:hAnsi="宋体"/>
                      </w:rPr>
                    </w:pPr>
                    <w:r>
                      <w:rPr>
                        <w:rFonts w:ascii="宋体" w:hAnsi="宋体"/>
                      </w:rPr>
                      <w:t xml:space="preserve">— </w:t>
                    </w:r>
                    <w:r>
                      <w:fldChar w:fldCharType="begin"/>
                    </w:r>
                    <w:r>
                      <w:rPr>
                        <w:rFonts w:ascii="宋体" w:hAnsi="宋体"/>
                      </w:rPr>
                      <w:instrText xml:space="preserve"> PAGE </w:instrText>
                    </w:r>
                    <w:r>
                      <w:fldChar w:fldCharType="separate"/>
                    </w:r>
                    <w:r>
                      <w:t>17</w:t>
                    </w:r>
                    <w:r>
                      <w:fldChar w:fldCharType="end"/>
                    </w:r>
                    <w:r>
                      <w:rPr>
                        <w:rFonts w:ascii="宋体" w:hAnsi="宋体"/>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1134745</wp:posOffset>
              </wp:positionH>
              <wp:positionV relativeFrom="page">
                <wp:posOffset>9561830</wp:posOffset>
              </wp:positionV>
              <wp:extent cx="73723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pStyle w:val="4"/>
                            <w:spacing w:line="321" w:lineRule="exact"/>
                            <w:ind w:left="20"/>
                            <w:rPr>
                              <w:rFonts w:ascii="宋体" w:hAnsi="宋体"/>
                            </w:rPr>
                          </w:pPr>
                          <w:r>
                            <w:rPr>
                              <w:rFonts w:ascii="宋体" w:hAnsi="宋体"/>
                            </w:rPr>
                            <w:t xml:space="preserve">— </w:t>
                          </w:r>
                          <w:r>
                            <w:fldChar w:fldCharType="begin"/>
                          </w:r>
                          <w:r>
                            <w:rPr>
                              <w:rFonts w:ascii="宋体" w:hAnsi="宋体"/>
                            </w:rPr>
                            <w:instrText xml:space="preserve"> PAGE </w:instrText>
                          </w:r>
                          <w:r>
                            <w:fldChar w:fldCharType="separate"/>
                          </w:r>
                          <w:r>
                            <w:t>18</w:t>
                          </w:r>
                          <w:r>
                            <w:fldChar w:fldCharType="end"/>
                          </w:r>
                          <w:r>
                            <w:rPr>
                              <w:rFonts w:ascii="宋体" w:hAnsi="宋体"/>
                            </w:rPr>
                            <w:t xml:space="preserve"> —</w:t>
                          </w:r>
                        </w:p>
                      </w:txbxContent>
                    </wps:txbx>
                    <wps:bodyPr lIns="0" tIns="0" rIns="0" bIns="0" upright="1"/>
                  </wps:wsp>
                </a:graphicData>
              </a:graphic>
            </wp:anchor>
          </w:drawing>
        </mc:Choice>
        <mc:Fallback>
          <w:pict>
            <v:shape id="_x0000_s1026" o:spid="_x0000_s1026" o:spt="202" type="#_x0000_t202" style="position:absolute;left:0pt;margin-left:89.35pt;margin-top:752.9pt;height:16.05pt;width:58.05pt;mso-position-horizontal-relative:page;mso-position-vertical-relative:page;z-index:-251656192;mso-width-relative:page;mso-height-relative:page;" filled="f" stroked="f" coordsize="21600,21600" o:gfxdata="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8HiBnZAAAADQEAAA8AAAAAAAAAAQAgAAAAIgAAAGRycy9kb3ducmV2LnhtbFBLAQIU&#10;ABQAAAAIAIdO4kAXJhfeuQEAAHEDAAAOAAAAAAAAAAEAIAAAACgBAABkcnMvZTJvRG9jLnhtbFBL&#10;BQYAAAAABgAGAFkBAABTBQAAAAA=&#10;">
              <v:path/>
              <v:fill on="f" focussize="0,0"/>
              <v:stroke on="f" joinstyle="miter"/>
              <v:imagedata o:title=""/>
              <o:lock v:ext="edit"/>
              <v:textbox inset="0mm,0mm,0mm,0mm">
                <w:txbxContent>
                  <w:p>
                    <w:pPr>
                      <w:pStyle w:val="4"/>
                      <w:spacing w:line="321" w:lineRule="exact"/>
                      <w:ind w:left="20"/>
                      <w:rPr>
                        <w:rFonts w:ascii="宋体" w:hAnsi="宋体"/>
                      </w:rPr>
                    </w:pPr>
                    <w:r>
                      <w:rPr>
                        <w:rFonts w:ascii="宋体" w:hAnsi="宋体"/>
                      </w:rPr>
                      <w:t xml:space="preserve">— </w:t>
                    </w:r>
                    <w:r>
                      <w:fldChar w:fldCharType="begin"/>
                    </w:r>
                    <w:r>
                      <w:rPr>
                        <w:rFonts w:ascii="宋体" w:hAnsi="宋体"/>
                      </w:rPr>
                      <w:instrText xml:space="preserve"> PAGE </w:instrText>
                    </w:r>
                    <w:r>
                      <w:fldChar w:fldCharType="separate"/>
                    </w:r>
                    <w:r>
                      <w:t>18</w:t>
                    </w:r>
                    <w:r>
                      <w:fldChar w:fldCharType="end"/>
                    </w:r>
                    <w:r>
                      <w:rPr>
                        <w:rFonts w:ascii="宋体" w:hAnsi="宋体"/>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531" w:hanging="425"/>
        <w:jc w:val="left"/>
      </w:pPr>
      <w:rPr>
        <w:rFonts w:hint="default"/>
        <w:spacing w:val="0"/>
        <w:w w:val="100"/>
        <w:lang w:val="zh-CN" w:eastAsia="zh-CN" w:bidi="zh-CN"/>
      </w:rPr>
    </w:lvl>
    <w:lvl w:ilvl="1" w:tentative="0">
      <w:start w:val="0"/>
      <w:numFmt w:val="bullet"/>
      <w:lvlText w:val="•"/>
      <w:lvlJc w:val="left"/>
      <w:pPr>
        <w:ind w:left="1393" w:hanging="425"/>
      </w:pPr>
      <w:rPr>
        <w:rFonts w:hint="default"/>
        <w:lang w:val="zh-CN" w:eastAsia="zh-CN" w:bidi="zh-CN"/>
      </w:rPr>
    </w:lvl>
    <w:lvl w:ilvl="2" w:tentative="0">
      <w:start w:val="0"/>
      <w:numFmt w:val="bullet"/>
      <w:lvlText w:val="•"/>
      <w:lvlJc w:val="left"/>
      <w:pPr>
        <w:ind w:left="2246" w:hanging="425"/>
      </w:pPr>
      <w:rPr>
        <w:rFonts w:hint="default"/>
        <w:lang w:val="zh-CN" w:eastAsia="zh-CN" w:bidi="zh-CN"/>
      </w:rPr>
    </w:lvl>
    <w:lvl w:ilvl="3" w:tentative="0">
      <w:start w:val="0"/>
      <w:numFmt w:val="bullet"/>
      <w:lvlText w:val="•"/>
      <w:lvlJc w:val="left"/>
      <w:pPr>
        <w:ind w:left="3099" w:hanging="425"/>
      </w:pPr>
      <w:rPr>
        <w:rFonts w:hint="default"/>
        <w:lang w:val="zh-CN" w:eastAsia="zh-CN" w:bidi="zh-CN"/>
      </w:rPr>
    </w:lvl>
    <w:lvl w:ilvl="4" w:tentative="0">
      <w:start w:val="0"/>
      <w:numFmt w:val="bullet"/>
      <w:lvlText w:val="•"/>
      <w:lvlJc w:val="left"/>
      <w:pPr>
        <w:ind w:left="3952" w:hanging="425"/>
      </w:pPr>
      <w:rPr>
        <w:rFonts w:hint="default"/>
        <w:lang w:val="zh-CN" w:eastAsia="zh-CN" w:bidi="zh-CN"/>
      </w:rPr>
    </w:lvl>
    <w:lvl w:ilvl="5" w:tentative="0">
      <w:start w:val="0"/>
      <w:numFmt w:val="bullet"/>
      <w:lvlText w:val="•"/>
      <w:lvlJc w:val="left"/>
      <w:pPr>
        <w:ind w:left="4805" w:hanging="425"/>
      </w:pPr>
      <w:rPr>
        <w:rFonts w:hint="default"/>
        <w:lang w:val="zh-CN" w:eastAsia="zh-CN" w:bidi="zh-CN"/>
      </w:rPr>
    </w:lvl>
    <w:lvl w:ilvl="6" w:tentative="0">
      <w:start w:val="0"/>
      <w:numFmt w:val="bullet"/>
      <w:lvlText w:val="•"/>
      <w:lvlJc w:val="left"/>
      <w:pPr>
        <w:ind w:left="5658" w:hanging="425"/>
      </w:pPr>
      <w:rPr>
        <w:rFonts w:hint="default"/>
        <w:lang w:val="zh-CN" w:eastAsia="zh-CN" w:bidi="zh-CN"/>
      </w:rPr>
    </w:lvl>
    <w:lvl w:ilvl="7" w:tentative="0">
      <w:start w:val="0"/>
      <w:numFmt w:val="bullet"/>
      <w:lvlText w:val="•"/>
      <w:lvlJc w:val="left"/>
      <w:pPr>
        <w:ind w:left="6511" w:hanging="425"/>
      </w:pPr>
      <w:rPr>
        <w:rFonts w:hint="default"/>
        <w:lang w:val="zh-CN" w:eastAsia="zh-CN" w:bidi="zh-CN"/>
      </w:rPr>
    </w:lvl>
    <w:lvl w:ilvl="8" w:tentative="0">
      <w:start w:val="0"/>
      <w:numFmt w:val="bullet"/>
      <w:lvlText w:val="•"/>
      <w:lvlJc w:val="left"/>
      <w:pPr>
        <w:ind w:left="7364" w:hanging="425"/>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2U5ZGQ5NDZhZDQ0Y2NhNmVhZGE0OThhOGYyYWIifQ=="/>
  </w:docVars>
  <w:rsids>
    <w:rsidRoot w:val="05581DE2"/>
    <w:rsid w:val="05581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190"/>
      <w:ind w:left="626"/>
      <w:outlineLvl w:val="1"/>
    </w:pPr>
    <w:rPr>
      <w:rFonts w:ascii="仿宋" w:hAnsi="仿宋" w:eastAsia="仿宋" w:cs="仿宋"/>
      <w:sz w:val="32"/>
      <w:szCs w:val="32"/>
      <w:lang w:val="zh-CN" w:eastAsia="zh-CN" w:bidi="zh-CN"/>
    </w:rPr>
  </w:style>
  <w:style w:type="paragraph" w:styleId="3">
    <w:name w:val="heading 2"/>
    <w:basedOn w:val="1"/>
    <w:next w:val="1"/>
    <w:qFormat/>
    <w:uiPriority w:val="1"/>
    <w:pPr>
      <w:spacing w:line="420" w:lineRule="exact"/>
      <w:ind w:left="106"/>
      <w:outlineLvl w:val="2"/>
    </w:pPr>
    <w:rPr>
      <w:rFonts w:ascii="等线" w:hAnsi="等线" w:eastAsia="等线" w:cs="等线"/>
      <w:b/>
      <w:bCs/>
      <w:sz w:val="28"/>
      <w:szCs w:val="28"/>
      <w:lang w:val="zh-CN" w:eastAsia="zh-CN" w:bidi="zh-CN"/>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等线" w:hAnsi="等线" w:eastAsia="等线" w:cs="等线"/>
      <w:sz w:val="28"/>
      <w:szCs w:val="28"/>
      <w:lang w:val="zh-CN" w:eastAsia="zh-CN" w:bidi="zh-CN"/>
    </w:rPr>
  </w:style>
  <w:style w:type="paragraph" w:styleId="7">
    <w:name w:val="List Paragraph"/>
    <w:basedOn w:val="1"/>
    <w:qFormat/>
    <w:uiPriority w:val="1"/>
    <w:pPr>
      <w:spacing w:line="420" w:lineRule="exact"/>
      <w:ind w:left="531" w:hanging="426"/>
    </w:pPr>
    <w:rPr>
      <w:rFonts w:ascii="等线" w:hAnsi="等线" w:eastAsia="等线" w:cs="等线"/>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2025-05-13T07:06:00Z</dcterms:created>
  <dc:creator>可欣</dc:creator>
  <cp:lastModifiedBy>可欣</cp:lastModifiedBy>
  <dcterms:modified xsi:type="dcterms:W3CDTF">2025-05-13T07:06:57Z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892DDD63E22E4EC5A208FDED02BFB9BC</vt:lpwstr>
  </property>
</Properties>
</file>